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289B0" w14:textId="73DE29E4" w:rsidR="00195A85" w:rsidRDefault="00A265F1">
      <w:pPr>
        <w:rPr>
          <w:rFonts w:ascii="Arial" w:hAnsi="Arial" w:cs="Arial"/>
          <w:color w:val="000000"/>
          <w:sz w:val="33"/>
          <w:szCs w:val="33"/>
        </w:rPr>
      </w:pPr>
      <w:r>
        <w:rPr>
          <w:rFonts w:ascii="Arial" w:hAnsi="Arial" w:cs="Arial"/>
          <w:color w:val="000000"/>
          <w:sz w:val="33"/>
          <w:szCs w:val="33"/>
        </w:rPr>
        <w:t xml:space="preserve">Millions of additional workers will soon be eligible for overtime pay thanks to the Labor Department’s new salary threshold for certain exempt employees – which raises the rate higher than initially anticipated. Employers will need to act quickly to ensure their pay practices align with this significant change. Specifically, the U.S. Department of Labor (DOL) announced today that the salary threshold for the so-called “white-collar” exemptions will rise from $35K to about </w:t>
      </w:r>
      <w:r w:rsidRPr="00A265F1">
        <w:rPr>
          <w:rFonts w:ascii="Arial" w:hAnsi="Arial" w:cs="Arial"/>
          <w:color w:val="000000"/>
          <w:sz w:val="33"/>
          <w:szCs w:val="33"/>
          <w:highlight w:val="yellow"/>
        </w:rPr>
        <w:t>$44K on July 1</w:t>
      </w:r>
      <w:r>
        <w:rPr>
          <w:rFonts w:ascii="Arial" w:hAnsi="Arial" w:cs="Arial"/>
          <w:color w:val="000000"/>
          <w:sz w:val="33"/>
          <w:szCs w:val="33"/>
        </w:rPr>
        <w:t xml:space="preserve"> </w:t>
      </w:r>
      <w:r w:rsidRPr="00A265F1">
        <w:rPr>
          <w:rFonts w:ascii="Arial" w:hAnsi="Arial" w:cs="Arial"/>
          <w:color w:val="000000"/>
          <w:sz w:val="33"/>
          <w:szCs w:val="33"/>
          <w:highlight w:val="yellow"/>
        </w:rPr>
        <w:t>(</w:t>
      </w:r>
      <w:r w:rsidRPr="00A265F1">
        <w:rPr>
          <w:rFonts w:ascii="Arial" w:hAnsi="Arial" w:cs="Arial"/>
          <w:color w:val="000000"/>
          <w:sz w:val="33"/>
          <w:szCs w:val="33"/>
          <w:highlight w:val="yellow"/>
        </w:rPr>
        <w:t>$844 a week</w:t>
      </w:r>
      <w:r>
        <w:rPr>
          <w:rFonts w:ascii="Arial" w:hAnsi="Arial" w:cs="Arial"/>
          <w:color w:val="000000"/>
          <w:sz w:val="33"/>
          <w:szCs w:val="33"/>
        </w:rPr>
        <w:t>)</w:t>
      </w:r>
      <w:r>
        <w:rPr>
          <w:rFonts w:ascii="Arial" w:hAnsi="Arial" w:cs="Arial"/>
          <w:color w:val="000000"/>
          <w:sz w:val="33"/>
          <w:szCs w:val="33"/>
        </w:rPr>
        <w:t xml:space="preserve"> and will jump to nearly </w:t>
      </w:r>
      <w:r w:rsidRPr="00A265F1">
        <w:rPr>
          <w:rFonts w:ascii="Arial" w:hAnsi="Arial" w:cs="Arial"/>
          <w:color w:val="000000"/>
          <w:sz w:val="33"/>
          <w:szCs w:val="33"/>
          <w:highlight w:val="yellow"/>
        </w:rPr>
        <w:t xml:space="preserve">$59k </w:t>
      </w:r>
      <w:r w:rsidRPr="00A265F1">
        <w:rPr>
          <w:rFonts w:ascii="Arial" w:hAnsi="Arial" w:cs="Arial"/>
          <w:color w:val="000000"/>
          <w:sz w:val="33"/>
          <w:szCs w:val="33"/>
          <w:highlight w:val="yellow"/>
        </w:rPr>
        <w:t>(</w:t>
      </w:r>
      <w:r w:rsidRPr="00A265F1">
        <w:rPr>
          <w:rFonts w:ascii="Arial" w:hAnsi="Arial" w:cs="Arial"/>
          <w:color w:val="000000"/>
          <w:sz w:val="33"/>
          <w:szCs w:val="33"/>
          <w:highlight w:val="yellow"/>
        </w:rPr>
        <w:t>$1,128</w:t>
      </w:r>
      <w:r w:rsidRPr="00A265F1">
        <w:rPr>
          <w:rFonts w:ascii="Arial" w:hAnsi="Arial" w:cs="Arial"/>
          <w:color w:val="000000"/>
          <w:sz w:val="33"/>
          <w:szCs w:val="33"/>
          <w:highlight w:val="yellow"/>
        </w:rPr>
        <w:t xml:space="preserve"> a week)</w:t>
      </w:r>
      <w:r>
        <w:rPr>
          <w:rFonts w:ascii="Arial" w:hAnsi="Arial" w:cs="Arial"/>
          <w:color w:val="000000"/>
          <w:sz w:val="33"/>
          <w:szCs w:val="33"/>
        </w:rPr>
        <w:t xml:space="preserve"> </w:t>
      </w:r>
      <w:r w:rsidRPr="00A265F1">
        <w:rPr>
          <w:rFonts w:ascii="Arial" w:hAnsi="Arial" w:cs="Arial"/>
          <w:color w:val="000000"/>
          <w:sz w:val="33"/>
          <w:szCs w:val="33"/>
          <w:highlight w:val="yellow"/>
        </w:rPr>
        <w:t>at the start of 2025</w:t>
      </w:r>
      <w:r>
        <w:rPr>
          <w:rFonts w:ascii="Arial" w:hAnsi="Arial" w:cs="Arial"/>
          <w:color w:val="000000"/>
          <w:sz w:val="33"/>
          <w:szCs w:val="33"/>
        </w:rPr>
        <w:t xml:space="preserve"> – which means your workers will need to earn at least this new threshold to even be considered exempt from OT pay under the white-collar exemptions. The Department says this change will </w:t>
      </w:r>
      <w:proofErr w:type="gramStart"/>
      <w:r>
        <w:rPr>
          <w:rFonts w:ascii="Arial" w:hAnsi="Arial" w:cs="Arial"/>
          <w:color w:val="000000"/>
          <w:sz w:val="33"/>
          <w:szCs w:val="33"/>
        </w:rPr>
        <w:t>impact</w:t>
      </w:r>
      <w:proofErr w:type="gramEnd"/>
      <w:r>
        <w:rPr>
          <w:rFonts w:ascii="Arial" w:hAnsi="Arial" w:cs="Arial"/>
          <w:color w:val="000000"/>
          <w:sz w:val="33"/>
          <w:szCs w:val="33"/>
        </w:rPr>
        <w:t xml:space="preserve"> about 4 million workers, and it could prompt big changes to your compensation plans. While we expect to see legal challenges, you can’t count on a court halting the rule before the effective dates, so you should start planning right away. What are the top 10 considerations you should make ahead of the effective date?</w:t>
      </w:r>
    </w:p>
    <w:p w14:paraId="5BDEB76B" w14:textId="77777777" w:rsidR="00A265F1" w:rsidRDefault="00A265F1" w:rsidP="00A265F1">
      <w:pPr>
        <w:spacing w:before="120" w:after="100" w:afterAutospacing="1" w:line="348" w:lineRule="atLeast"/>
        <w:rPr>
          <w:rFonts w:ascii="Arial" w:eastAsia="Times New Roman" w:hAnsi="Arial" w:cs="Arial"/>
          <w:color w:val="000000"/>
          <w:kern w:val="0"/>
          <w:sz w:val="33"/>
          <w:szCs w:val="33"/>
          <w14:ligatures w14:val="none"/>
        </w:rPr>
      </w:pPr>
      <w:r w:rsidRPr="00A265F1">
        <w:rPr>
          <w:rFonts w:ascii="Arial" w:eastAsia="Times New Roman" w:hAnsi="Arial" w:cs="Arial"/>
          <w:color w:val="000000"/>
          <w:kern w:val="0"/>
          <w:sz w:val="33"/>
          <w:szCs w:val="33"/>
          <w14:ligatures w14:val="none"/>
        </w:rPr>
        <w:t>The threshold for the “</w:t>
      </w:r>
      <w:r w:rsidRPr="00A265F1">
        <w:rPr>
          <w:rFonts w:ascii="Arial" w:eastAsia="Times New Roman" w:hAnsi="Arial" w:cs="Arial"/>
          <w:color w:val="000000"/>
          <w:kern w:val="0"/>
          <w:sz w:val="33"/>
          <w:szCs w:val="33"/>
          <w:highlight w:val="yellow"/>
          <w14:ligatures w14:val="none"/>
        </w:rPr>
        <w:t>highly compensated employee" (HCE) exemption will rise, first to $132,964 on July 1,</w:t>
      </w:r>
      <w:r w:rsidRPr="00A265F1">
        <w:rPr>
          <w:rFonts w:ascii="Arial" w:eastAsia="Times New Roman" w:hAnsi="Arial" w:cs="Arial"/>
          <w:color w:val="000000"/>
          <w:kern w:val="0"/>
          <w:sz w:val="33"/>
          <w:szCs w:val="33"/>
          <w14:ligatures w14:val="none"/>
        </w:rPr>
        <w:t xml:space="preserve"> then to $151,164 on January 1, 2025 – which is also a bigger increase than initially proposed and is a significant increase from the current $107,432. The HCE threshold will also be updated every three years.</w:t>
      </w:r>
    </w:p>
    <w:p w14:paraId="13B7B628" w14:textId="77777777" w:rsidR="00A265F1" w:rsidRPr="00A265F1" w:rsidRDefault="00A265F1" w:rsidP="00A265F1">
      <w:pPr>
        <w:spacing w:before="375" w:after="0" w:line="348" w:lineRule="atLeast"/>
        <w:rPr>
          <w:rFonts w:ascii="Arial" w:eastAsia="Times New Roman" w:hAnsi="Arial" w:cs="Arial"/>
          <w:color w:val="000000"/>
          <w:kern w:val="0"/>
          <w:sz w:val="33"/>
          <w:szCs w:val="33"/>
          <w14:ligatures w14:val="none"/>
        </w:rPr>
      </w:pPr>
      <w:r w:rsidRPr="00A265F1">
        <w:rPr>
          <w:rFonts w:ascii="Arial" w:eastAsia="Times New Roman" w:hAnsi="Arial" w:cs="Arial"/>
          <w:color w:val="000000"/>
          <w:kern w:val="0"/>
          <w:sz w:val="33"/>
          <w:szCs w:val="33"/>
          <w14:ligatures w14:val="none"/>
        </w:rPr>
        <w:t>Don’t forget that the white-collar exemptions have more requirements than just the salary threshold. To qualify for these exemptions, employees must meet three criteria:</w:t>
      </w:r>
    </w:p>
    <w:p w14:paraId="09D3E3F1" w14:textId="77777777" w:rsidR="00A265F1" w:rsidRPr="00A265F1" w:rsidRDefault="00A265F1" w:rsidP="00A265F1">
      <w:pPr>
        <w:numPr>
          <w:ilvl w:val="0"/>
          <w:numId w:val="3"/>
        </w:numPr>
        <w:spacing w:before="120" w:after="100" w:afterAutospacing="1" w:line="348" w:lineRule="atLeast"/>
        <w:ind w:left="960"/>
        <w:rPr>
          <w:rFonts w:ascii="Arial" w:eastAsia="Times New Roman" w:hAnsi="Arial" w:cs="Arial"/>
          <w:color w:val="000000"/>
          <w:kern w:val="0"/>
          <w:sz w:val="33"/>
          <w:szCs w:val="33"/>
          <w14:ligatures w14:val="none"/>
        </w:rPr>
      </w:pPr>
      <w:r w:rsidRPr="00A265F1">
        <w:rPr>
          <w:rFonts w:ascii="Arial" w:eastAsia="Times New Roman" w:hAnsi="Arial" w:cs="Arial"/>
          <w:color w:val="000000"/>
          <w:kern w:val="0"/>
          <w:sz w:val="33"/>
          <w:szCs w:val="33"/>
          <w14:ligatures w14:val="none"/>
        </w:rPr>
        <w:t xml:space="preserve">Be paid on a salary </w:t>
      </w:r>
      <w:proofErr w:type="gramStart"/>
      <w:r w:rsidRPr="00A265F1">
        <w:rPr>
          <w:rFonts w:ascii="Arial" w:eastAsia="Times New Roman" w:hAnsi="Arial" w:cs="Arial"/>
          <w:color w:val="000000"/>
          <w:kern w:val="0"/>
          <w:sz w:val="33"/>
          <w:szCs w:val="33"/>
          <w14:ligatures w14:val="none"/>
        </w:rPr>
        <w:t>basis;</w:t>
      </w:r>
      <w:proofErr w:type="gramEnd"/>
    </w:p>
    <w:p w14:paraId="20DC4C00" w14:textId="77777777" w:rsidR="00A265F1" w:rsidRPr="00A265F1" w:rsidRDefault="00A265F1" w:rsidP="00A265F1">
      <w:pPr>
        <w:numPr>
          <w:ilvl w:val="0"/>
          <w:numId w:val="3"/>
        </w:numPr>
        <w:spacing w:before="120" w:after="100" w:afterAutospacing="1" w:line="348" w:lineRule="atLeast"/>
        <w:ind w:left="960"/>
        <w:rPr>
          <w:rFonts w:ascii="Arial" w:eastAsia="Times New Roman" w:hAnsi="Arial" w:cs="Arial"/>
          <w:color w:val="000000"/>
          <w:kern w:val="0"/>
          <w:sz w:val="33"/>
          <w:szCs w:val="33"/>
          <w14:ligatures w14:val="none"/>
        </w:rPr>
      </w:pPr>
      <w:r w:rsidRPr="00A265F1">
        <w:rPr>
          <w:rFonts w:ascii="Arial" w:eastAsia="Times New Roman" w:hAnsi="Arial" w:cs="Arial"/>
          <w:color w:val="000000"/>
          <w:kern w:val="0"/>
          <w:sz w:val="33"/>
          <w:szCs w:val="33"/>
          <w14:ligatures w14:val="none"/>
        </w:rPr>
        <w:t>Be paid at least the designated minimum weekly salary; and</w:t>
      </w:r>
    </w:p>
    <w:p w14:paraId="3E5C5F5C" w14:textId="77777777" w:rsidR="00A265F1" w:rsidRPr="00A265F1" w:rsidRDefault="00A265F1" w:rsidP="00A265F1">
      <w:pPr>
        <w:numPr>
          <w:ilvl w:val="0"/>
          <w:numId w:val="3"/>
        </w:numPr>
        <w:spacing w:before="120" w:after="100" w:afterAutospacing="1" w:line="348" w:lineRule="atLeast"/>
        <w:ind w:left="960"/>
        <w:rPr>
          <w:rFonts w:ascii="Arial" w:eastAsia="Times New Roman" w:hAnsi="Arial" w:cs="Arial"/>
          <w:color w:val="000000"/>
          <w:kern w:val="0"/>
          <w:sz w:val="33"/>
          <w:szCs w:val="33"/>
          <w14:ligatures w14:val="none"/>
        </w:rPr>
      </w:pPr>
      <w:r w:rsidRPr="00A265F1">
        <w:rPr>
          <w:rFonts w:ascii="Arial" w:eastAsia="Times New Roman" w:hAnsi="Arial" w:cs="Arial"/>
          <w:color w:val="000000"/>
          <w:kern w:val="0"/>
          <w:sz w:val="33"/>
          <w:szCs w:val="33"/>
          <w14:ligatures w14:val="none"/>
        </w:rPr>
        <w:t>Perform certain duties.</w:t>
      </w:r>
    </w:p>
    <w:p w14:paraId="479457FA" w14:textId="7E1F7129" w:rsidR="00A265F1" w:rsidRDefault="00A265F1" w:rsidP="00A265F1">
      <w:pPr>
        <w:spacing w:before="120" w:after="100" w:afterAutospacing="1" w:line="348" w:lineRule="atLeast"/>
        <w:ind w:left="120"/>
        <w:rPr>
          <w:rFonts w:ascii="Arial" w:eastAsia="Times New Roman" w:hAnsi="Arial" w:cs="Arial"/>
          <w:color w:val="000000"/>
          <w:kern w:val="0"/>
          <w:sz w:val="33"/>
          <w:szCs w:val="33"/>
          <w14:ligatures w14:val="none"/>
        </w:rPr>
      </w:pPr>
      <w:r>
        <w:rPr>
          <w:rFonts w:ascii="Arial" w:hAnsi="Arial" w:cs="Arial"/>
          <w:color w:val="000000"/>
          <w:sz w:val="33"/>
          <w:szCs w:val="33"/>
        </w:rPr>
        <w:lastRenderedPageBreak/>
        <w:t>You will have to quickly decide whether to raise their salary to meet the new threshold or convert them to non-exempt status. </w:t>
      </w:r>
      <w:r>
        <w:rPr>
          <w:rFonts w:ascii="Arial" w:hAnsi="Arial" w:cs="Arial"/>
          <w:color w:val="000000"/>
          <w:sz w:val="33"/>
          <w:szCs w:val="33"/>
        </w:rPr>
        <w:t>If you decide to convert to non-exempt, consider what you will pay them, potential overtime (1 ½ hourly rate), bonuses and other pay that must be included in the overtime rate and policies that may affect them – such as benefits.</w:t>
      </w:r>
    </w:p>
    <w:p w14:paraId="20FFE358" w14:textId="77777777" w:rsidR="00A265F1" w:rsidRDefault="00A265F1" w:rsidP="00A265F1">
      <w:pPr>
        <w:spacing w:before="120" w:after="100" w:afterAutospacing="1" w:line="348" w:lineRule="atLeast"/>
        <w:ind w:left="120"/>
        <w:rPr>
          <w:rFonts w:ascii="Arial" w:eastAsia="Times New Roman" w:hAnsi="Arial" w:cs="Arial"/>
          <w:color w:val="000000"/>
          <w:kern w:val="0"/>
          <w:sz w:val="33"/>
          <w:szCs w:val="33"/>
          <w14:ligatures w14:val="none"/>
        </w:rPr>
      </w:pPr>
      <w:r w:rsidRPr="00A265F1">
        <w:rPr>
          <w:rFonts w:ascii="Arial" w:eastAsia="Times New Roman" w:hAnsi="Arial" w:cs="Arial"/>
          <w:color w:val="000000"/>
          <w:kern w:val="0"/>
          <w:sz w:val="33"/>
          <w:szCs w:val="33"/>
          <w14:ligatures w14:val="none"/>
        </w:rPr>
        <w:t>The salary threshold will be automatically updated every three years starting on July 1, 2027.</w:t>
      </w:r>
    </w:p>
    <w:p w14:paraId="10E5B824" w14:textId="77777777" w:rsidR="00A265F1" w:rsidRDefault="00A265F1" w:rsidP="00A265F1">
      <w:pPr>
        <w:spacing w:before="120" w:after="100" w:afterAutospacing="1" w:line="348" w:lineRule="atLeast"/>
        <w:ind w:left="120"/>
        <w:rPr>
          <w:rFonts w:ascii="Arial" w:hAnsi="Arial" w:cs="Arial"/>
          <w:color w:val="000000"/>
          <w:sz w:val="33"/>
          <w:szCs w:val="33"/>
        </w:rPr>
      </w:pPr>
    </w:p>
    <w:p w14:paraId="4469358B" w14:textId="77777777" w:rsidR="00A265F1" w:rsidRPr="00A265F1" w:rsidRDefault="00A265F1" w:rsidP="00A265F1">
      <w:pPr>
        <w:spacing w:before="120" w:after="100" w:afterAutospacing="1" w:line="348" w:lineRule="atLeast"/>
        <w:ind w:left="120"/>
        <w:rPr>
          <w:rFonts w:ascii="Arial" w:eastAsia="Times New Roman" w:hAnsi="Arial" w:cs="Arial"/>
          <w:color w:val="000000"/>
          <w:kern w:val="0"/>
          <w:sz w:val="33"/>
          <w:szCs w:val="33"/>
          <w14:ligatures w14:val="none"/>
        </w:rPr>
      </w:pPr>
    </w:p>
    <w:p w14:paraId="102915F3" w14:textId="77777777" w:rsidR="00A265F1" w:rsidRPr="00A265F1" w:rsidRDefault="00A265F1" w:rsidP="00A265F1">
      <w:pPr>
        <w:spacing w:before="120" w:after="100" w:afterAutospacing="1" w:line="348" w:lineRule="atLeast"/>
        <w:ind w:left="960"/>
        <w:rPr>
          <w:rFonts w:ascii="Arial" w:eastAsia="Times New Roman" w:hAnsi="Arial" w:cs="Arial"/>
          <w:color w:val="000000"/>
          <w:kern w:val="0"/>
          <w:sz w:val="33"/>
          <w:szCs w:val="33"/>
          <w14:ligatures w14:val="none"/>
        </w:rPr>
      </w:pPr>
    </w:p>
    <w:p w14:paraId="30508939" w14:textId="77777777" w:rsidR="00A265F1" w:rsidRDefault="00A265F1">
      <w:pPr>
        <w:rPr>
          <w:rFonts w:ascii="Arial" w:hAnsi="Arial" w:cs="Arial"/>
          <w:color w:val="000000"/>
          <w:sz w:val="33"/>
          <w:szCs w:val="33"/>
        </w:rPr>
      </w:pPr>
    </w:p>
    <w:p w14:paraId="38B2A1F5" w14:textId="77777777" w:rsidR="00A265F1" w:rsidRDefault="00A265F1"/>
    <w:sectPr w:rsidR="00A265F1" w:rsidSect="00A265F1">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729A"/>
    <w:multiLevelType w:val="multilevel"/>
    <w:tmpl w:val="81DC325E"/>
    <w:lvl w:ilvl="0">
      <w:start w:val="1"/>
      <w:numFmt w:val="bullet"/>
      <w:lvlText w:val=""/>
      <w:lvlJc w:val="left"/>
      <w:pPr>
        <w:tabs>
          <w:tab w:val="num" w:pos="480"/>
        </w:tabs>
        <w:ind w:left="480" w:hanging="360"/>
      </w:pPr>
      <w:rPr>
        <w:rFonts w:ascii="Symbol" w:hAnsi="Symbol" w:hint="default"/>
        <w:sz w:val="20"/>
      </w:rPr>
    </w:lvl>
    <w:lvl w:ilvl="1" w:tentative="1">
      <w:start w:val="1"/>
      <w:numFmt w:val="bullet"/>
      <w:lvlText w:val=""/>
      <w:lvlJc w:val="left"/>
      <w:pPr>
        <w:tabs>
          <w:tab w:val="num" w:pos="1200"/>
        </w:tabs>
        <w:ind w:left="1200" w:hanging="360"/>
      </w:pPr>
      <w:rPr>
        <w:rFonts w:ascii="Symbol" w:hAnsi="Symbol" w:hint="default"/>
        <w:sz w:val="20"/>
      </w:rPr>
    </w:lvl>
    <w:lvl w:ilvl="2" w:tentative="1">
      <w:start w:val="1"/>
      <w:numFmt w:val="bullet"/>
      <w:lvlText w:val=""/>
      <w:lvlJc w:val="left"/>
      <w:pPr>
        <w:tabs>
          <w:tab w:val="num" w:pos="1920"/>
        </w:tabs>
        <w:ind w:left="1920" w:hanging="360"/>
      </w:pPr>
      <w:rPr>
        <w:rFonts w:ascii="Symbol" w:hAnsi="Symbol" w:hint="default"/>
        <w:sz w:val="20"/>
      </w:rPr>
    </w:lvl>
    <w:lvl w:ilvl="3" w:tentative="1">
      <w:start w:val="1"/>
      <w:numFmt w:val="bullet"/>
      <w:lvlText w:val=""/>
      <w:lvlJc w:val="left"/>
      <w:pPr>
        <w:tabs>
          <w:tab w:val="num" w:pos="2640"/>
        </w:tabs>
        <w:ind w:left="2640" w:hanging="360"/>
      </w:pPr>
      <w:rPr>
        <w:rFonts w:ascii="Symbol" w:hAnsi="Symbol" w:hint="default"/>
        <w:sz w:val="20"/>
      </w:rPr>
    </w:lvl>
    <w:lvl w:ilvl="4" w:tentative="1">
      <w:start w:val="1"/>
      <w:numFmt w:val="bullet"/>
      <w:lvlText w:val=""/>
      <w:lvlJc w:val="left"/>
      <w:pPr>
        <w:tabs>
          <w:tab w:val="num" w:pos="3360"/>
        </w:tabs>
        <w:ind w:left="3360" w:hanging="360"/>
      </w:pPr>
      <w:rPr>
        <w:rFonts w:ascii="Symbol" w:hAnsi="Symbol" w:hint="default"/>
        <w:sz w:val="20"/>
      </w:rPr>
    </w:lvl>
    <w:lvl w:ilvl="5" w:tentative="1">
      <w:start w:val="1"/>
      <w:numFmt w:val="bullet"/>
      <w:lvlText w:val=""/>
      <w:lvlJc w:val="left"/>
      <w:pPr>
        <w:tabs>
          <w:tab w:val="num" w:pos="4080"/>
        </w:tabs>
        <w:ind w:left="4080" w:hanging="360"/>
      </w:pPr>
      <w:rPr>
        <w:rFonts w:ascii="Symbol" w:hAnsi="Symbol" w:hint="default"/>
        <w:sz w:val="20"/>
      </w:rPr>
    </w:lvl>
    <w:lvl w:ilvl="6" w:tentative="1">
      <w:start w:val="1"/>
      <w:numFmt w:val="bullet"/>
      <w:lvlText w:val=""/>
      <w:lvlJc w:val="left"/>
      <w:pPr>
        <w:tabs>
          <w:tab w:val="num" w:pos="4800"/>
        </w:tabs>
        <w:ind w:left="4800" w:hanging="360"/>
      </w:pPr>
      <w:rPr>
        <w:rFonts w:ascii="Symbol" w:hAnsi="Symbol" w:hint="default"/>
        <w:sz w:val="20"/>
      </w:rPr>
    </w:lvl>
    <w:lvl w:ilvl="7" w:tentative="1">
      <w:start w:val="1"/>
      <w:numFmt w:val="bullet"/>
      <w:lvlText w:val=""/>
      <w:lvlJc w:val="left"/>
      <w:pPr>
        <w:tabs>
          <w:tab w:val="num" w:pos="5520"/>
        </w:tabs>
        <w:ind w:left="5520" w:hanging="360"/>
      </w:pPr>
      <w:rPr>
        <w:rFonts w:ascii="Symbol" w:hAnsi="Symbol" w:hint="default"/>
        <w:sz w:val="20"/>
      </w:rPr>
    </w:lvl>
    <w:lvl w:ilvl="8" w:tentative="1">
      <w:start w:val="1"/>
      <w:numFmt w:val="bullet"/>
      <w:lvlText w:val=""/>
      <w:lvlJc w:val="left"/>
      <w:pPr>
        <w:tabs>
          <w:tab w:val="num" w:pos="6240"/>
        </w:tabs>
        <w:ind w:left="6240" w:hanging="360"/>
      </w:pPr>
      <w:rPr>
        <w:rFonts w:ascii="Symbol" w:hAnsi="Symbol" w:hint="default"/>
        <w:sz w:val="20"/>
      </w:rPr>
    </w:lvl>
  </w:abstractNum>
  <w:abstractNum w:abstractNumId="1" w15:restartNumberingAfterBreak="0">
    <w:nsid w:val="5D8040C9"/>
    <w:multiLevelType w:val="multilevel"/>
    <w:tmpl w:val="24FA0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AF144B4"/>
    <w:multiLevelType w:val="multilevel"/>
    <w:tmpl w:val="D610D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95154183">
    <w:abstractNumId w:val="0"/>
  </w:num>
  <w:num w:numId="2" w16cid:durableId="199974510">
    <w:abstractNumId w:val="2"/>
  </w:num>
  <w:num w:numId="3" w16cid:durableId="3606702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5F1"/>
    <w:rsid w:val="00195A85"/>
    <w:rsid w:val="00A26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9F428"/>
  <w15:chartTrackingRefBased/>
  <w15:docId w15:val="{B2D21A5C-82A2-4C2F-A1DA-13EE0F84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65F1"/>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A265F1"/>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A265F1"/>
    <w:pPr>
      <w:keepNext/>
      <w:keepLines/>
      <w:spacing w:before="160" w:after="80"/>
      <w:outlineLvl w:val="2"/>
    </w:pPr>
    <w:rPr>
      <w:rFonts w:eastAsiaTheme="majorEastAsia"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A265F1"/>
    <w:pPr>
      <w:keepNext/>
      <w:keepLines/>
      <w:spacing w:before="80" w:after="40"/>
      <w:outlineLvl w:val="3"/>
    </w:pPr>
    <w:rPr>
      <w:rFonts w:eastAsiaTheme="majorEastAsia" w:cstheme="majorBidi"/>
      <w:i/>
      <w:iCs/>
      <w:color w:val="365F91" w:themeColor="accent1" w:themeShade="BF"/>
    </w:rPr>
  </w:style>
  <w:style w:type="paragraph" w:styleId="Heading5">
    <w:name w:val="heading 5"/>
    <w:basedOn w:val="Normal"/>
    <w:next w:val="Normal"/>
    <w:link w:val="Heading5Char"/>
    <w:uiPriority w:val="9"/>
    <w:semiHidden/>
    <w:unhideWhenUsed/>
    <w:qFormat/>
    <w:rsid w:val="00A265F1"/>
    <w:pPr>
      <w:keepNext/>
      <w:keepLines/>
      <w:spacing w:before="80" w:after="40"/>
      <w:outlineLvl w:val="4"/>
    </w:pPr>
    <w:rPr>
      <w:rFonts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A265F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265F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265F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265F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65F1"/>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A265F1"/>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A265F1"/>
    <w:rPr>
      <w:rFonts w:eastAsiaTheme="majorEastAsia"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A265F1"/>
    <w:rPr>
      <w:rFonts w:eastAsiaTheme="majorEastAsia" w:cstheme="majorBidi"/>
      <w:i/>
      <w:iCs/>
      <w:color w:val="365F91" w:themeColor="accent1" w:themeShade="BF"/>
    </w:rPr>
  </w:style>
  <w:style w:type="character" w:customStyle="1" w:styleId="Heading5Char">
    <w:name w:val="Heading 5 Char"/>
    <w:basedOn w:val="DefaultParagraphFont"/>
    <w:link w:val="Heading5"/>
    <w:uiPriority w:val="9"/>
    <w:semiHidden/>
    <w:rsid w:val="00A265F1"/>
    <w:rPr>
      <w:rFonts w:eastAsiaTheme="majorEastAsia" w:cstheme="majorBidi"/>
      <w:color w:val="365F91" w:themeColor="accent1" w:themeShade="BF"/>
    </w:rPr>
  </w:style>
  <w:style w:type="character" w:customStyle="1" w:styleId="Heading6Char">
    <w:name w:val="Heading 6 Char"/>
    <w:basedOn w:val="DefaultParagraphFont"/>
    <w:link w:val="Heading6"/>
    <w:uiPriority w:val="9"/>
    <w:semiHidden/>
    <w:rsid w:val="00A265F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265F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265F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265F1"/>
    <w:rPr>
      <w:rFonts w:eastAsiaTheme="majorEastAsia" w:cstheme="majorBidi"/>
      <w:color w:val="272727" w:themeColor="text1" w:themeTint="D8"/>
    </w:rPr>
  </w:style>
  <w:style w:type="paragraph" w:styleId="Title">
    <w:name w:val="Title"/>
    <w:basedOn w:val="Normal"/>
    <w:next w:val="Normal"/>
    <w:link w:val="TitleChar"/>
    <w:uiPriority w:val="10"/>
    <w:qFormat/>
    <w:rsid w:val="00A265F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65F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265F1"/>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265F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265F1"/>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A265F1"/>
    <w:rPr>
      <w:i/>
      <w:iCs/>
      <w:color w:val="404040" w:themeColor="text1" w:themeTint="BF"/>
    </w:rPr>
  </w:style>
  <w:style w:type="paragraph" w:styleId="ListParagraph">
    <w:name w:val="List Paragraph"/>
    <w:basedOn w:val="Normal"/>
    <w:uiPriority w:val="34"/>
    <w:qFormat/>
    <w:rsid w:val="00A265F1"/>
    <w:pPr>
      <w:ind w:left="720"/>
      <w:contextualSpacing/>
    </w:pPr>
  </w:style>
  <w:style w:type="character" w:styleId="IntenseEmphasis">
    <w:name w:val="Intense Emphasis"/>
    <w:basedOn w:val="DefaultParagraphFont"/>
    <w:uiPriority w:val="21"/>
    <w:qFormat/>
    <w:rsid w:val="00A265F1"/>
    <w:rPr>
      <w:i/>
      <w:iCs/>
      <w:color w:val="365F91" w:themeColor="accent1" w:themeShade="BF"/>
    </w:rPr>
  </w:style>
  <w:style w:type="paragraph" w:styleId="IntenseQuote">
    <w:name w:val="Intense Quote"/>
    <w:basedOn w:val="Normal"/>
    <w:next w:val="Normal"/>
    <w:link w:val="IntenseQuoteChar"/>
    <w:uiPriority w:val="30"/>
    <w:qFormat/>
    <w:rsid w:val="00A265F1"/>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A265F1"/>
    <w:rPr>
      <w:i/>
      <w:iCs/>
      <w:color w:val="365F91" w:themeColor="accent1" w:themeShade="BF"/>
    </w:rPr>
  </w:style>
  <w:style w:type="character" w:styleId="IntenseReference">
    <w:name w:val="Intense Reference"/>
    <w:basedOn w:val="DefaultParagraphFont"/>
    <w:uiPriority w:val="32"/>
    <w:qFormat/>
    <w:rsid w:val="00A265F1"/>
    <w:rPr>
      <w:b/>
      <w:bCs/>
      <w:smallCaps/>
      <w:color w:val="365F91" w:themeColor="accent1" w:themeShade="BF"/>
      <w:spacing w:val="5"/>
    </w:rPr>
  </w:style>
  <w:style w:type="character" w:styleId="Strong">
    <w:name w:val="Strong"/>
    <w:basedOn w:val="DefaultParagraphFont"/>
    <w:uiPriority w:val="22"/>
    <w:qFormat/>
    <w:rsid w:val="00A265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749551">
      <w:bodyDiv w:val="1"/>
      <w:marLeft w:val="0"/>
      <w:marRight w:val="0"/>
      <w:marTop w:val="0"/>
      <w:marBottom w:val="0"/>
      <w:divBdr>
        <w:top w:val="none" w:sz="0" w:space="0" w:color="auto"/>
        <w:left w:val="none" w:sz="0" w:space="0" w:color="auto"/>
        <w:bottom w:val="none" w:sz="0" w:space="0" w:color="auto"/>
        <w:right w:val="none" w:sz="0" w:space="0" w:color="auto"/>
      </w:divBdr>
    </w:div>
    <w:div w:id="1955599496">
      <w:bodyDiv w:val="1"/>
      <w:marLeft w:val="0"/>
      <w:marRight w:val="0"/>
      <w:marTop w:val="0"/>
      <w:marBottom w:val="0"/>
      <w:divBdr>
        <w:top w:val="none" w:sz="0" w:space="0" w:color="auto"/>
        <w:left w:val="none" w:sz="0" w:space="0" w:color="auto"/>
        <w:bottom w:val="none" w:sz="0" w:space="0" w:color="auto"/>
        <w:right w:val="none" w:sz="0" w:space="0" w:color="auto"/>
      </w:divBdr>
    </w:div>
    <w:div w:id="202998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318</Words>
  <Characters>1819</Characters>
  <Application>Microsoft Office Word</Application>
  <DocSecurity>0</DocSecurity>
  <Lines>15</Lines>
  <Paragraphs>4</Paragraphs>
  <ScaleCrop>false</ScaleCrop>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Asselta</dc:creator>
  <cp:keywords/>
  <dc:description/>
  <cp:lastModifiedBy>Carol Asselta</cp:lastModifiedBy>
  <cp:revision>1</cp:revision>
  <dcterms:created xsi:type="dcterms:W3CDTF">2024-04-23T22:58:00Z</dcterms:created>
  <dcterms:modified xsi:type="dcterms:W3CDTF">2024-04-23T23:11:00Z</dcterms:modified>
</cp:coreProperties>
</file>